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54" w:rsidRDefault="00225B54" w:rsidP="00F5755C">
      <w:pPr>
        <w:pStyle w:val="20"/>
        <w:shd w:val="clear" w:color="auto" w:fill="auto"/>
        <w:spacing w:line="230" w:lineRule="exact"/>
        <w:ind w:left="6521"/>
        <w:jc w:val="both"/>
        <w:rPr>
          <w:lang w:val="uk-UA"/>
        </w:rPr>
      </w:pPr>
    </w:p>
    <w:p w:rsidR="000E7579" w:rsidRPr="000E7579" w:rsidRDefault="000E7579" w:rsidP="00F5755C">
      <w:pPr>
        <w:pStyle w:val="20"/>
        <w:shd w:val="clear" w:color="auto" w:fill="auto"/>
        <w:spacing w:line="230" w:lineRule="exact"/>
        <w:ind w:left="6521"/>
        <w:jc w:val="both"/>
        <w:rPr>
          <w:lang w:val="uk-UA"/>
        </w:rPr>
      </w:pPr>
      <w:r w:rsidRPr="000E7579">
        <w:rPr>
          <w:lang w:val="uk-UA"/>
        </w:rPr>
        <w:t>Додаток № 2</w:t>
      </w:r>
      <w:r w:rsidR="00F5755C">
        <w:rPr>
          <w:lang w:val="uk-UA"/>
        </w:rPr>
        <w:t xml:space="preserve"> </w:t>
      </w:r>
      <w:r w:rsidRPr="000E7579">
        <w:rPr>
          <w:lang w:val="uk-UA"/>
        </w:rPr>
        <w:t>до договору про постачання електричної енергії споживачу</w:t>
      </w:r>
    </w:p>
    <w:p w:rsidR="000E7579" w:rsidRPr="00C106FF" w:rsidRDefault="000E7579" w:rsidP="000E7579">
      <w:pPr>
        <w:pStyle w:val="a3"/>
        <w:tabs>
          <w:tab w:val="left" w:pos="9354"/>
        </w:tabs>
        <w:spacing w:before="120" w:beforeAutospacing="0" w:after="0" w:afterAutospacing="0"/>
        <w:jc w:val="center"/>
        <w:rPr>
          <w:b/>
          <w:lang w:val="uk-UA"/>
        </w:rPr>
      </w:pPr>
      <w:r w:rsidRPr="00C106FF">
        <w:rPr>
          <w:b/>
          <w:lang w:val="uk-UA"/>
        </w:rPr>
        <w:t>Комерційна пропозиція №</w:t>
      </w:r>
      <w:r w:rsidR="004B2B5B" w:rsidRPr="00C106FF">
        <w:rPr>
          <w:b/>
          <w:lang w:val="uk-UA"/>
        </w:rPr>
        <w:t>2</w:t>
      </w:r>
      <w:r w:rsidRPr="00C106FF">
        <w:rPr>
          <w:b/>
          <w:lang w:val="uk-UA"/>
        </w:rPr>
        <w:t xml:space="preserve">-П-П </w:t>
      </w:r>
    </w:p>
    <w:p w:rsidR="000E7579" w:rsidRPr="00C106FF" w:rsidRDefault="000E7579" w:rsidP="000E7579">
      <w:pPr>
        <w:pStyle w:val="a3"/>
        <w:tabs>
          <w:tab w:val="left" w:pos="9354"/>
        </w:tabs>
        <w:spacing w:before="0" w:beforeAutospacing="0" w:after="0" w:afterAutospacing="0"/>
        <w:ind w:right="-2"/>
        <w:jc w:val="center"/>
        <w:rPr>
          <w:b/>
          <w:lang w:val="uk-UA"/>
        </w:rPr>
      </w:pPr>
      <w:r w:rsidRPr="00C106FF">
        <w:rPr>
          <w:b/>
          <w:lang w:val="uk-UA"/>
        </w:rPr>
        <w:t>постачальника електричної енергії</w:t>
      </w:r>
    </w:p>
    <w:p w:rsidR="000E7579" w:rsidRPr="00C106FF" w:rsidRDefault="000E7579" w:rsidP="00C106FF">
      <w:pPr>
        <w:jc w:val="center"/>
        <w:rPr>
          <w:rFonts w:ascii="Times New Roman" w:eastAsia="Times New Roman" w:hAnsi="Times New Roman"/>
          <w:b/>
          <w:sz w:val="24"/>
          <w:szCs w:val="24"/>
          <w:lang w:eastAsia="ru-RU"/>
        </w:rPr>
      </w:pPr>
      <w:r w:rsidRPr="00C106FF">
        <w:rPr>
          <w:rFonts w:ascii="Times New Roman" w:hAnsi="Times New Roman"/>
          <w:b/>
          <w:sz w:val="24"/>
          <w:szCs w:val="24"/>
          <w:lang w:val="uk-UA"/>
        </w:rPr>
        <w:t>ТОВ «</w:t>
      </w:r>
      <w:r w:rsidR="00C106FF" w:rsidRPr="00C106FF">
        <w:rPr>
          <w:rFonts w:ascii="Times New Roman" w:eastAsia="Times New Roman" w:hAnsi="Times New Roman"/>
          <w:b/>
          <w:caps/>
          <w:color w:val="1F1F1F"/>
          <w:sz w:val="24"/>
          <w:szCs w:val="24"/>
          <w:shd w:val="clear" w:color="auto" w:fill="FFFFFF"/>
          <w:lang w:eastAsia="ru-RU"/>
        </w:rPr>
        <w:t>ТНН ЛТД ЮКРЕЙН</w:t>
      </w:r>
      <w:r w:rsidRPr="00C106FF">
        <w:rPr>
          <w:rFonts w:ascii="Times New Roman" w:hAnsi="Times New Roman"/>
          <w:b/>
          <w:sz w:val="24"/>
          <w:szCs w:val="24"/>
          <w:lang w:val="uk-UA"/>
        </w:rPr>
        <w:t>»</w:t>
      </w:r>
    </w:p>
    <w:p w:rsidR="000E7579" w:rsidRPr="000E7579" w:rsidRDefault="00F5755C" w:rsidP="000E7579">
      <w:pPr>
        <w:pStyle w:val="a3"/>
        <w:tabs>
          <w:tab w:val="left" w:pos="9354"/>
        </w:tabs>
        <w:spacing w:before="0" w:beforeAutospacing="0" w:after="0" w:afterAutospacing="0"/>
        <w:ind w:right="-2"/>
        <w:jc w:val="center"/>
        <w:rPr>
          <w:b/>
          <w:lang w:val="uk-UA"/>
        </w:rPr>
      </w:pPr>
      <w:r>
        <w:rPr>
          <w:b/>
          <w:lang w:val="uk-UA"/>
        </w:rPr>
        <w:t>(</w:t>
      </w:r>
      <w:r w:rsidR="001521A4">
        <w:rPr>
          <w:b/>
          <w:lang w:val="uk-UA"/>
        </w:rPr>
        <w:t>на період з 01.0</w:t>
      </w:r>
      <w:r w:rsidR="00C106FF">
        <w:rPr>
          <w:b/>
          <w:lang w:val="uk-UA"/>
        </w:rPr>
        <w:t>6</w:t>
      </w:r>
      <w:r w:rsidR="000E7579" w:rsidRPr="000E7579">
        <w:rPr>
          <w:b/>
          <w:lang w:val="uk-UA"/>
        </w:rPr>
        <w:t>.2019 по 01.0</w:t>
      </w:r>
      <w:r w:rsidR="00C106FF">
        <w:rPr>
          <w:b/>
          <w:lang w:val="uk-UA"/>
        </w:rPr>
        <w:t>8</w:t>
      </w:r>
      <w:r w:rsidR="000E7579" w:rsidRPr="000E7579">
        <w:rPr>
          <w:b/>
          <w:lang w:val="uk-UA"/>
        </w:rPr>
        <w:t>.2019 р.</w:t>
      </w:r>
      <w:r>
        <w:rPr>
          <w:b/>
          <w:lang w:val="uk-UA"/>
        </w:rPr>
        <w:t>)</w:t>
      </w:r>
    </w:p>
    <w:p w:rsidR="000E7579" w:rsidRPr="000E7579" w:rsidRDefault="000E7579" w:rsidP="000E7579">
      <w:pPr>
        <w:pStyle w:val="a3"/>
        <w:tabs>
          <w:tab w:val="left" w:pos="9354"/>
        </w:tabs>
        <w:spacing w:before="0" w:beforeAutospacing="0" w:after="0" w:afterAutospacing="0"/>
        <w:ind w:right="-2"/>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163"/>
      </w:tblGrid>
      <w:tr w:rsidR="000E7579" w:rsidRPr="000E7579" w:rsidTr="00E24A56">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1. Критерії, яким має відповідати особа, що обирає дану комерційну пропозицію</w:t>
            </w:r>
          </w:p>
        </w:tc>
        <w:tc>
          <w:tcPr>
            <w:tcW w:w="7163" w:type="dxa"/>
            <w:shd w:val="clear" w:color="auto" w:fill="auto"/>
          </w:tcPr>
          <w:p w:rsidR="000E7579" w:rsidRPr="000E7579" w:rsidRDefault="000E7579" w:rsidP="00E24A56">
            <w:pPr>
              <w:pStyle w:val="a4"/>
              <w:numPr>
                <w:ilvl w:val="0"/>
                <w:numId w:val="1"/>
              </w:numPr>
              <w:rPr>
                <w:rFonts w:ascii="Times New Roman" w:hAnsi="Times New Roman"/>
              </w:rPr>
            </w:pPr>
            <w:r w:rsidRPr="000E7579">
              <w:rPr>
                <w:rFonts w:ascii="Times New Roman" w:hAnsi="Times New Roman"/>
              </w:rPr>
              <w:t>споживач є власником (користувачем) об’єкта;</w:t>
            </w:r>
          </w:p>
          <w:p w:rsidR="000E7579" w:rsidRPr="001D18F8" w:rsidRDefault="000E7579" w:rsidP="00E24A56">
            <w:pPr>
              <w:pStyle w:val="a4"/>
              <w:numPr>
                <w:ilvl w:val="0"/>
                <w:numId w:val="1"/>
              </w:numPr>
              <w:jc w:val="both"/>
              <w:rPr>
                <w:rFonts w:ascii="Times New Roman" w:hAnsi="Times New Roman"/>
              </w:rPr>
            </w:pPr>
            <w:r w:rsidRPr="001D18F8">
              <w:rPr>
                <w:rFonts w:ascii="Times New Roman" w:hAnsi="Times New Roman"/>
              </w:rPr>
              <w:t>наявні у споживача засоби обліку електричної енергії відповідають вимогам Комерційного обліку та мають бути адаптовані з системою комерційного обліку Постачальника;</w:t>
            </w:r>
          </w:p>
          <w:p w:rsidR="000E7579" w:rsidRPr="000E7579" w:rsidRDefault="000E7579" w:rsidP="00E24A56">
            <w:pPr>
              <w:pStyle w:val="a4"/>
              <w:numPr>
                <w:ilvl w:val="0"/>
                <w:numId w:val="1"/>
              </w:numPr>
              <w:jc w:val="both"/>
              <w:rPr>
                <w:rFonts w:ascii="Times New Roman" w:hAnsi="Times New Roman"/>
              </w:rPr>
            </w:pPr>
            <w:r w:rsidRPr="000E7579">
              <w:rPr>
                <w:rFonts w:ascii="Times New Roman" w:hAnsi="Times New Roman"/>
                <w:sz w:val="24"/>
                <w:szCs w:val="24"/>
              </w:rPr>
              <w:t xml:space="preserve">наявні у споживача засоби обліку електричної </w:t>
            </w:r>
            <w:r w:rsidRPr="00534994">
              <w:rPr>
                <w:rFonts w:ascii="Times New Roman" w:hAnsi="Times New Roman"/>
                <w:sz w:val="24"/>
                <w:szCs w:val="24"/>
              </w:rPr>
              <w:t xml:space="preserve">енергії  </w:t>
            </w:r>
            <w:r w:rsidR="00534994" w:rsidRPr="00534994">
              <w:rPr>
                <w:rFonts w:ascii="Times New Roman" w:hAnsi="Times New Roman"/>
                <w:sz w:val="24"/>
                <w:szCs w:val="24"/>
                <w:u w:val="single"/>
              </w:rPr>
              <w:t>не</w:t>
            </w:r>
            <w:r w:rsidR="00534994" w:rsidRPr="00534994">
              <w:rPr>
                <w:rFonts w:ascii="Times New Roman" w:hAnsi="Times New Roman"/>
                <w:b/>
                <w:sz w:val="24"/>
                <w:szCs w:val="24"/>
                <w:u w:val="single"/>
              </w:rPr>
              <w:t xml:space="preserve"> </w:t>
            </w:r>
            <w:r w:rsidRPr="00534994">
              <w:rPr>
                <w:rFonts w:ascii="Times New Roman" w:hAnsi="Times New Roman"/>
                <w:sz w:val="24"/>
                <w:szCs w:val="24"/>
                <w:u w:val="single"/>
              </w:rPr>
              <w:t>забезпечують</w:t>
            </w:r>
            <w:r w:rsidRPr="000E7579">
              <w:rPr>
                <w:rFonts w:ascii="Times New Roman" w:hAnsi="Times New Roman"/>
                <w:sz w:val="24"/>
                <w:szCs w:val="24"/>
              </w:rPr>
              <w:t xml:space="preserve"> можливість фіксації обсягу погодинного споживання електричної енергії</w:t>
            </w:r>
            <w:r w:rsidRPr="000E7579">
              <w:rPr>
                <w:rFonts w:ascii="Times New Roman" w:hAnsi="Times New Roman"/>
              </w:rPr>
              <w:t xml:space="preserve"> (АСКУЕ, ЛУЗОД – атестовані, знаходяться в робочому стані);</w:t>
            </w:r>
          </w:p>
          <w:p w:rsidR="000E7579" w:rsidRPr="000E7579" w:rsidRDefault="000E7579" w:rsidP="00E24A56">
            <w:pPr>
              <w:pStyle w:val="a4"/>
              <w:numPr>
                <w:ilvl w:val="0"/>
                <w:numId w:val="1"/>
              </w:numPr>
              <w:jc w:val="both"/>
              <w:rPr>
                <w:rFonts w:ascii="Times New Roman" w:hAnsi="Times New Roman"/>
              </w:rPr>
            </w:pPr>
            <w:r w:rsidRPr="000E7579">
              <w:rPr>
                <w:rFonts w:ascii="Times New Roman" w:hAnsi="Times New Roman"/>
              </w:rPr>
              <w:t>споживач приєднався до умов договору споживача про надання послуг з розподілу (передачі) електричної енергії;</w:t>
            </w:r>
          </w:p>
          <w:p w:rsidR="000E7579" w:rsidRPr="000E7579" w:rsidRDefault="000E7579" w:rsidP="00E24A56">
            <w:pPr>
              <w:pStyle w:val="a4"/>
              <w:numPr>
                <w:ilvl w:val="0"/>
                <w:numId w:val="1"/>
              </w:numPr>
              <w:jc w:val="both"/>
              <w:rPr>
                <w:rFonts w:ascii="Times New Roman" w:hAnsi="Times New Roman"/>
                <w:sz w:val="24"/>
                <w:szCs w:val="24"/>
              </w:rPr>
            </w:pPr>
            <w:r w:rsidRPr="000E7579">
              <w:rPr>
                <w:rFonts w:ascii="Times New Roman" w:hAnsi="Times New Roman"/>
              </w:rPr>
              <w:t>відсутність заборгованості за спожиту електричну енергію перед іншим постачальником.</w:t>
            </w:r>
          </w:p>
        </w:tc>
      </w:tr>
      <w:tr w:rsidR="000E7579" w:rsidRPr="003104E3" w:rsidTr="00E24A56">
        <w:trPr>
          <w:trHeight w:val="1419"/>
        </w:trPr>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2. Порядок розрахунку ціни</w:t>
            </w:r>
          </w:p>
        </w:tc>
        <w:tc>
          <w:tcPr>
            <w:tcW w:w="7163" w:type="dxa"/>
            <w:shd w:val="clear" w:color="auto" w:fill="auto"/>
          </w:tcPr>
          <w:p w:rsidR="000E7579" w:rsidRPr="00225B54" w:rsidRDefault="000E7579" w:rsidP="006D456B">
            <w:pPr>
              <w:pStyle w:val="a3"/>
              <w:spacing w:before="0" w:beforeAutospacing="0" w:after="0" w:afterAutospacing="0"/>
              <w:ind w:firstLine="428"/>
              <w:jc w:val="both"/>
              <w:rPr>
                <w:b/>
                <w:strike/>
                <w:sz w:val="22"/>
                <w:szCs w:val="22"/>
                <w:lang w:val="uk-UA"/>
              </w:rPr>
            </w:pPr>
            <w:r w:rsidRPr="003104E3">
              <w:rPr>
                <w:b/>
                <w:sz w:val="22"/>
                <w:szCs w:val="22"/>
                <w:lang w:val="uk-UA"/>
              </w:rPr>
              <w:t>Споживач</w:t>
            </w:r>
            <w:r w:rsidRPr="003104E3">
              <w:rPr>
                <w:sz w:val="22"/>
                <w:szCs w:val="22"/>
                <w:lang w:val="uk-UA"/>
              </w:rPr>
              <w:t xml:space="preserve"> здійснює оплату електричної енергії  за </w:t>
            </w:r>
            <w:r w:rsidR="003104E3" w:rsidRPr="003104E3">
              <w:rPr>
                <w:sz w:val="22"/>
                <w:szCs w:val="22"/>
                <w:lang w:val="uk-UA"/>
              </w:rPr>
              <w:t>Ціною</w:t>
            </w:r>
            <w:r w:rsidR="004B2B5B">
              <w:rPr>
                <w:sz w:val="22"/>
                <w:szCs w:val="22"/>
                <w:lang w:val="uk-UA"/>
              </w:rPr>
              <w:t>: собівартість плюс 5%</w:t>
            </w:r>
            <w:r w:rsidRPr="003104E3">
              <w:rPr>
                <w:sz w:val="22"/>
                <w:szCs w:val="22"/>
                <w:lang w:val="uk-UA"/>
              </w:rPr>
              <w:t>. (собівартість =  ціна закупк</w:t>
            </w:r>
            <w:r w:rsidR="000078DF" w:rsidRPr="003104E3">
              <w:rPr>
                <w:sz w:val="22"/>
                <w:szCs w:val="22"/>
                <w:lang w:val="uk-UA"/>
              </w:rPr>
              <w:t>и 1 кВт*г в ДП «Енергоринок</w:t>
            </w:r>
            <w:r w:rsidR="006D456B">
              <w:rPr>
                <w:sz w:val="22"/>
                <w:szCs w:val="22"/>
                <w:lang w:val="uk-UA"/>
              </w:rPr>
              <w:t>».</w:t>
            </w:r>
          </w:p>
        </w:tc>
      </w:tr>
      <w:tr w:rsidR="000E7579" w:rsidRPr="000E7579" w:rsidTr="00E24A56">
        <w:trPr>
          <w:trHeight w:val="2462"/>
        </w:trPr>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3. Спосіб оплати</w:t>
            </w:r>
          </w:p>
        </w:tc>
        <w:tc>
          <w:tcPr>
            <w:tcW w:w="7163" w:type="dxa"/>
            <w:shd w:val="clear" w:color="auto" w:fill="auto"/>
          </w:tcPr>
          <w:p w:rsidR="000E7579" w:rsidRPr="001D18F8" w:rsidRDefault="000E7579" w:rsidP="00E24A56">
            <w:pPr>
              <w:pStyle w:val="a3"/>
              <w:spacing w:before="0" w:beforeAutospacing="0" w:after="0" w:afterAutospacing="0"/>
              <w:ind w:firstLine="335"/>
              <w:jc w:val="both"/>
              <w:rPr>
                <w:sz w:val="22"/>
                <w:szCs w:val="22"/>
                <w:lang w:val="uk-UA"/>
              </w:rPr>
            </w:pPr>
            <w:r w:rsidRPr="001D18F8">
              <w:rPr>
                <w:sz w:val="22"/>
                <w:szCs w:val="22"/>
                <w:lang w:val="uk-UA"/>
              </w:rPr>
              <w:t>Розрахунковим періодом є календарний місяць та встановлюється з 1 числа місяця до такого ж числа наступного місяця.</w:t>
            </w:r>
          </w:p>
          <w:p w:rsidR="000E7579" w:rsidRPr="001D18F8" w:rsidRDefault="000E7579" w:rsidP="00E24A56">
            <w:pPr>
              <w:pStyle w:val="a3"/>
              <w:spacing w:before="0" w:beforeAutospacing="0" w:after="0" w:afterAutospacing="0"/>
              <w:ind w:firstLine="335"/>
              <w:jc w:val="both"/>
              <w:rPr>
                <w:sz w:val="22"/>
                <w:szCs w:val="22"/>
                <w:lang w:val="uk-UA"/>
              </w:rPr>
            </w:pPr>
            <w:r w:rsidRPr="001D18F8">
              <w:rPr>
                <w:sz w:val="22"/>
                <w:szCs w:val="22"/>
                <w:lang w:val="uk-UA"/>
              </w:rPr>
              <w:t xml:space="preserve">Оплата електричної енергії здійснюється споживачем у формі попередньої оплати плановими платежами з остаточним розрахунком, що проводиться за фактично відпущену електричну енергію згідно з даними комерційного обліку. </w:t>
            </w:r>
          </w:p>
          <w:p w:rsidR="000E7579" w:rsidRPr="001D18F8" w:rsidRDefault="000E7579" w:rsidP="00E24A56">
            <w:pPr>
              <w:pStyle w:val="a3"/>
              <w:spacing w:before="0" w:beforeAutospacing="0" w:after="0" w:afterAutospacing="0"/>
              <w:ind w:firstLine="335"/>
              <w:jc w:val="both"/>
              <w:rPr>
                <w:sz w:val="22"/>
                <w:szCs w:val="22"/>
                <w:u w:val="single"/>
                <w:lang w:val="uk-UA"/>
              </w:rPr>
            </w:pPr>
            <w:r w:rsidRPr="001D18F8">
              <w:rPr>
                <w:sz w:val="22"/>
                <w:szCs w:val="22"/>
                <w:u w:val="single"/>
                <w:lang w:val="uk-UA"/>
              </w:rPr>
              <w:t>Планові платежі здійснюється в наступному порядку:</w:t>
            </w:r>
          </w:p>
          <w:p w:rsidR="000E7579" w:rsidRPr="001D18F8" w:rsidRDefault="000E7579" w:rsidP="00E24A56">
            <w:pPr>
              <w:pStyle w:val="a3"/>
              <w:numPr>
                <w:ilvl w:val="0"/>
                <w:numId w:val="1"/>
              </w:numPr>
              <w:spacing w:before="0" w:beforeAutospacing="0" w:after="0" w:afterAutospacing="0"/>
              <w:jc w:val="both"/>
              <w:rPr>
                <w:sz w:val="22"/>
                <w:szCs w:val="22"/>
                <w:lang w:val="uk-UA"/>
              </w:rPr>
            </w:pPr>
            <w:r w:rsidRPr="001D18F8">
              <w:rPr>
                <w:sz w:val="22"/>
                <w:szCs w:val="22"/>
                <w:lang w:val="uk-UA"/>
              </w:rPr>
              <w:t xml:space="preserve">1-й платіж до 25 числа місяця, що передує розрахунковому місяцю у розмірі </w:t>
            </w:r>
            <w:r w:rsidR="00815DCB" w:rsidRPr="001D18F8">
              <w:rPr>
                <w:sz w:val="22"/>
                <w:szCs w:val="22"/>
                <w:lang w:val="uk-UA"/>
              </w:rPr>
              <w:t>40</w:t>
            </w:r>
            <w:r w:rsidRPr="001D18F8">
              <w:rPr>
                <w:sz w:val="22"/>
                <w:szCs w:val="22"/>
                <w:lang w:val="uk-UA"/>
              </w:rPr>
              <w:t>% вартості заявленого обсягу споживання електричної енергії на відповідний розрахунковий період;</w:t>
            </w:r>
          </w:p>
          <w:p w:rsidR="000E7579" w:rsidRPr="001D18F8" w:rsidRDefault="000E7579" w:rsidP="00E24A56">
            <w:pPr>
              <w:pStyle w:val="a3"/>
              <w:numPr>
                <w:ilvl w:val="0"/>
                <w:numId w:val="1"/>
              </w:numPr>
              <w:spacing w:before="0" w:beforeAutospacing="0" w:after="0" w:afterAutospacing="0"/>
              <w:jc w:val="both"/>
              <w:rPr>
                <w:sz w:val="22"/>
                <w:szCs w:val="22"/>
                <w:lang w:val="uk-UA"/>
              </w:rPr>
            </w:pPr>
            <w:r w:rsidRPr="001D18F8">
              <w:rPr>
                <w:sz w:val="22"/>
                <w:szCs w:val="22"/>
                <w:lang w:val="uk-UA"/>
              </w:rPr>
              <w:t>2-й платіж до 1</w:t>
            </w:r>
            <w:r w:rsidR="00D71E74" w:rsidRPr="001D18F8">
              <w:rPr>
                <w:sz w:val="22"/>
                <w:szCs w:val="22"/>
                <w:lang w:val="uk-UA"/>
              </w:rPr>
              <w:t>0</w:t>
            </w:r>
            <w:r w:rsidRPr="001D18F8">
              <w:rPr>
                <w:sz w:val="22"/>
                <w:szCs w:val="22"/>
                <w:lang w:val="uk-UA"/>
              </w:rPr>
              <w:t xml:space="preserve"> числа р</w:t>
            </w:r>
            <w:r w:rsidR="00D71E74" w:rsidRPr="001D18F8">
              <w:rPr>
                <w:sz w:val="22"/>
                <w:szCs w:val="22"/>
                <w:lang w:val="uk-UA"/>
              </w:rPr>
              <w:t xml:space="preserve">озрахункового місяця у розмірі </w:t>
            </w:r>
            <w:r w:rsidR="004B2B5B">
              <w:rPr>
                <w:sz w:val="22"/>
                <w:szCs w:val="22"/>
                <w:lang w:val="uk-UA"/>
              </w:rPr>
              <w:t>60</w:t>
            </w:r>
            <w:r w:rsidRPr="001D18F8">
              <w:rPr>
                <w:sz w:val="22"/>
                <w:szCs w:val="22"/>
                <w:lang w:val="uk-UA"/>
              </w:rPr>
              <w:t>% вартості заявленого обсягу споживання електричної енергії на в</w:t>
            </w:r>
            <w:r w:rsidR="000078DF" w:rsidRPr="001D18F8">
              <w:rPr>
                <w:sz w:val="22"/>
                <w:szCs w:val="22"/>
                <w:lang w:val="uk-UA"/>
              </w:rPr>
              <w:t>ідповідний розрахунковий період.</w:t>
            </w:r>
          </w:p>
          <w:p w:rsidR="00815DCB" w:rsidRPr="001D18F8" w:rsidRDefault="00815DCB" w:rsidP="00534994">
            <w:pPr>
              <w:pStyle w:val="a3"/>
              <w:spacing w:before="0" w:beforeAutospacing="0" w:after="0" w:afterAutospacing="0"/>
              <w:ind w:left="720"/>
              <w:jc w:val="both"/>
              <w:rPr>
                <w:sz w:val="22"/>
                <w:szCs w:val="22"/>
                <w:lang w:val="uk-UA"/>
              </w:rPr>
            </w:pPr>
          </w:p>
          <w:p w:rsidR="000E7579" w:rsidRPr="001D18F8" w:rsidRDefault="000E7579" w:rsidP="00E24A56">
            <w:pPr>
              <w:spacing w:after="0" w:line="240" w:lineRule="auto"/>
              <w:ind w:firstLine="335"/>
              <w:jc w:val="both"/>
              <w:rPr>
                <w:rFonts w:ascii="Times New Roman" w:hAnsi="Times New Roman"/>
                <w:sz w:val="24"/>
                <w:szCs w:val="24"/>
                <w:lang w:val="uk-UA"/>
              </w:rPr>
            </w:pPr>
            <w:r w:rsidRPr="001D18F8">
              <w:rPr>
                <w:rFonts w:ascii="Times New Roman" w:hAnsi="Times New Roman"/>
                <w:lang w:val="uk-UA"/>
              </w:rPr>
              <w:t xml:space="preserve">Остаточний розрахунок Споживача за електричну енергію за розрахунковий період здійснюється відповідно до фактичного обсягу електричної енергії, визначеного </w:t>
            </w:r>
            <w:r w:rsidRPr="001D18F8">
              <w:rPr>
                <w:rFonts w:ascii="Times New Roman" w:hAnsi="Times New Roman"/>
                <w:color w:val="000000"/>
                <w:lang w:val="uk-UA"/>
              </w:rPr>
              <w:t xml:space="preserve">за показами розрахункових засобів обліку, </w:t>
            </w:r>
            <w:r w:rsidRPr="001D18F8">
              <w:rPr>
                <w:rFonts w:ascii="Times New Roman" w:hAnsi="Times New Roman"/>
                <w:lang w:val="uk-UA"/>
              </w:rPr>
              <w:t>на підставі виставленого рахунка Споживачу Постачальником, в якому зазначаються суми до сплати за використану електричну енергію.</w:t>
            </w:r>
          </w:p>
        </w:tc>
      </w:tr>
      <w:tr w:rsidR="000E7579" w:rsidRPr="00195AF4" w:rsidTr="00E24A56">
        <w:trPr>
          <w:trHeight w:val="720"/>
        </w:trPr>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4. Оплата послуг з розподілу електричної енергії</w:t>
            </w:r>
          </w:p>
        </w:tc>
        <w:tc>
          <w:tcPr>
            <w:tcW w:w="7163" w:type="dxa"/>
            <w:shd w:val="clear" w:color="auto" w:fill="auto"/>
          </w:tcPr>
          <w:p w:rsidR="000E7579" w:rsidRPr="001D18F8" w:rsidRDefault="00195AF4" w:rsidP="00195AF4">
            <w:pPr>
              <w:pStyle w:val="a3"/>
              <w:spacing w:before="0" w:beforeAutospacing="0" w:after="0" w:afterAutospacing="0"/>
              <w:ind w:firstLine="289"/>
              <w:jc w:val="both"/>
              <w:rPr>
                <w:sz w:val="22"/>
                <w:szCs w:val="22"/>
                <w:lang w:val="uk-UA"/>
              </w:rPr>
            </w:pPr>
            <w:r w:rsidRPr="001D18F8">
              <w:rPr>
                <w:sz w:val="22"/>
                <w:szCs w:val="22"/>
                <w:lang w:val="uk-UA"/>
              </w:rPr>
              <w:t>Споживач здійснює оплату за послугу з розподілу електричної енергії через Постачальника з наступним переведенням цієї оплати Постачальником оператору системи розподілу.</w:t>
            </w:r>
          </w:p>
        </w:tc>
      </w:tr>
      <w:tr w:rsidR="000E7579" w:rsidRPr="000E7579" w:rsidTr="00E24A56">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5. Термін надання рахунку за спожиту електричну енергію та термін його оплати</w:t>
            </w:r>
          </w:p>
        </w:tc>
        <w:tc>
          <w:tcPr>
            <w:tcW w:w="7163" w:type="dxa"/>
            <w:shd w:val="clear" w:color="auto" w:fill="auto"/>
          </w:tcPr>
          <w:p w:rsidR="000E7579" w:rsidRPr="000E7579" w:rsidRDefault="000E7579" w:rsidP="00E24A56">
            <w:pPr>
              <w:spacing w:after="0" w:line="240" w:lineRule="auto"/>
              <w:ind w:firstLine="287"/>
              <w:jc w:val="both"/>
              <w:rPr>
                <w:rFonts w:ascii="Times New Roman" w:hAnsi="Times New Roman"/>
                <w:lang w:val="uk-UA"/>
              </w:rPr>
            </w:pPr>
            <w:r w:rsidRPr="000E7579">
              <w:rPr>
                <w:rFonts w:ascii="Times New Roman" w:hAnsi="Times New Roman"/>
                <w:lang w:val="uk-UA"/>
              </w:rPr>
              <w:t>Рахунок на проведення остаточного розрахунку надається до 5 числа місяця, наступного за розрахунковим.</w:t>
            </w:r>
          </w:p>
          <w:p w:rsidR="000E7579" w:rsidRPr="00225B54" w:rsidRDefault="000E7579" w:rsidP="00E24A56">
            <w:pPr>
              <w:spacing w:after="0" w:line="240" w:lineRule="auto"/>
              <w:ind w:firstLine="287"/>
              <w:jc w:val="both"/>
              <w:rPr>
                <w:rFonts w:ascii="Times New Roman" w:hAnsi="Times New Roman"/>
                <w:b/>
                <w:sz w:val="24"/>
                <w:szCs w:val="24"/>
                <w:lang w:val="uk-UA"/>
              </w:rPr>
            </w:pPr>
            <w:r w:rsidRPr="000E7579">
              <w:rPr>
                <w:rFonts w:ascii="Times New Roman" w:hAnsi="Times New Roman"/>
                <w:lang w:val="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r w:rsidRPr="000E7579">
              <w:rPr>
                <w:rFonts w:ascii="Times New Roman" w:hAnsi="Times New Roman"/>
                <w:sz w:val="24"/>
                <w:szCs w:val="24"/>
                <w:lang w:val="uk-UA"/>
              </w:rPr>
              <w:t xml:space="preserve"> </w:t>
            </w:r>
          </w:p>
        </w:tc>
      </w:tr>
      <w:tr w:rsidR="000E7579" w:rsidRPr="007B2C56" w:rsidTr="00E24A56">
        <w:trPr>
          <w:trHeight w:val="2637"/>
        </w:trPr>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lastRenderedPageBreak/>
              <w:t>6. Розмір пені за порушення строку оплати та/або штраф</w:t>
            </w:r>
          </w:p>
          <w:p w:rsidR="000E7579" w:rsidRPr="000E7579" w:rsidRDefault="000E7579" w:rsidP="00E24A56">
            <w:pPr>
              <w:pStyle w:val="a4"/>
              <w:jc w:val="center"/>
              <w:rPr>
                <w:rFonts w:ascii="Times New Roman" w:hAnsi="Times New Roman"/>
                <w:b/>
              </w:rPr>
            </w:pPr>
          </w:p>
        </w:tc>
        <w:tc>
          <w:tcPr>
            <w:tcW w:w="7163" w:type="dxa"/>
            <w:shd w:val="clear" w:color="auto" w:fill="auto"/>
          </w:tcPr>
          <w:p w:rsidR="000E7579" w:rsidRPr="001D18F8" w:rsidRDefault="000E7579" w:rsidP="00E24A56">
            <w:pPr>
              <w:spacing w:after="0" w:line="240" w:lineRule="auto"/>
              <w:ind w:firstLine="287"/>
              <w:jc w:val="both"/>
              <w:rPr>
                <w:rFonts w:ascii="Times New Roman" w:hAnsi="Times New Roman"/>
                <w:lang w:val="uk-UA"/>
              </w:rPr>
            </w:pPr>
            <w:r w:rsidRPr="001D18F8">
              <w:rPr>
                <w:rFonts w:ascii="Times New Roman" w:hAnsi="Times New Roman"/>
                <w:lang w:val="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w:t>
            </w:r>
            <w:r w:rsidR="001D18F8" w:rsidRPr="001D18F8">
              <w:rPr>
                <w:rFonts w:ascii="Times New Roman" w:hAnsi="Times New Roman"/>
                <w:lang w:val="uk-UA"/>
              </w:rPr>
              <w:t>п</w:t>
            </w:r>
            <w:r w:rsidR="004B2B5B">
              <w:rPr>
                <w:rFonts w:ascii="Times New Roman" w:hAnsi="Times New Roman"/>
                <w:lang w:val="uk-UA"/>
              </w:rPr>
              <w:t>рострочення зобов’язання, та  3</w:t>
            </w:r>
            <w:r w:rsidRPr="001D18F8">
              <w:rPr>
                <w:rFonts w:ascii="Times New Roman" w:hAnsi="Times New Roman"/>
                <w:lang w:val="uk-UA"/>
              </w:rPr>
              <w:t>% річних від суми боргу.</w:t>
            </w:r>
          </w:p>
          <w:p w:rsidR="000E7579" w:rsidRPr="000E7579" w:rsidRDefault="004B2B5B" w:rsidP="00E24A56">
            <w:pPr>
              <w:tabs>
                <w:tab w:val="left" w:pos="408"/>
              </w:tabs>
              <w:spacing w:after="57" w:line="200" w:lineRule="atLeast"/>
              <w:jc w:val="both"/>
              <w:rPr>
                <w:rFonts w:ascii="Times New Roman" w:hAnsi="Times New Roman"/>
                <w:lang w:val="uk-UA"/>
              </w:rPr>
            </w:pPr>
            <w:r>
              <w:rPr>
                <w:rFonts w:ascii="Times New Roman" w:hAnsi="Times New Roman"/>
                <w:lang w:val="uk-UA"/>
              </w:rPr>
              <w:t>Суми пені, 3</w:t>
            </w:r>
            <w:r w:rsidR="000E7579" w:rsidRPr="001D18F8">
              <w:rPr>
                <w:rFonts w:ascii="Times New Roman" w:hAnsi="Times New Roman"/>
                <w:lang w:val="uk-UA"/>
              </w:rPr>
              <w:t>%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0E7579" w:rsidRPr="000E7579" w:rsidTr="00E24A56">
        <w:trPr>
          <w:trHeight w:val="1129"/>
        </w:trPr>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7. Погодження (коригування) договірних обсягів</w:t>
            </w:r>
          </w:p>
          <w:p w:rsidR="000E7579" w:rsidRPr="000E7579" w:rsidRDefault="000E7579" w:rsidP="00E24A56">
            <w:pPr>
              <w:pStyle w:val="a4"/>
              <w:jc w:val="center"/>
              <w:rPr>
                <w:rFonts w:ascii="Times New Roman" w:hAnsi="Times New Roman"/>
                <w:b/>
              </w:rPr>
            </w:pPr>
            <w:r w:rsidRPr="000E7579">
              <w:rPr>
                <w:rFonts w:ascii="Times New Roman" w:hAnsi="Times New Roman"/>
                <w:b/>
              </w:rPr>
              <w:t>споживання електричної енергії</w:t>
            </w:r>
          </w:p>
        </w:tc>
        <w:tc>
          <w:tcPr>
            <w:tcW w:w="7163" w:type="dxa"/>
            <w:shd w:val="clear" w:color="auto" w:fill="auto"/>
          </w:tcPr>
          <w:p w:rsidR="000E7579" w:rsidRPr="000E7579" w:rsidRDefault="000E7579" w:rsidP="00E24A56">
            <w:pPr>
              <w:pStyle w:val="1"/>
              <w:shd w:val="clear" w:color="auto" w:fill="auto"/>
              <w:spacing w:line="226" w:lineRule="exact"/>
              <w:ind w:firstLine="180"/>
              <w:rPr>
                <w:rFonts w:eastAsia="Calibri"/>
                <w:sz w:val="22"/>
                <w:szCs w:val="22"/>
                <w:lang w:val="uk-UA"/>
              </w:rPr>
            </w:pPr>
            <w:r w:rsidRPr="000E7579">
              <w:rPr>
                <w:rFonts w:eastAsia="Calibri"/>
                <w:sz w:val="22"/>
                <w:szCs w:val="22"/>
                <w:lang w:val="uk-UA"/>
              </w:rPr>
              <w:t>Погодження договірних обсягів споживання електричної енергії та граничні величини споживання електричної потужності у години контролю максимального навантаження енергосистеми у розрахунковому періоді визначаються у Додатку №3 до договору «Довідка про договірні обсяги споживання електричної енергії».</w:t>
            </w:r>
          </w:p>
          <w:p w:rsidR="000E7579" w:rsidRPr="000E7579" w:rsidRDefault="000E7579" w:rsidP="00E24A56">
            <w:pPr>
              <w:pStyle w:val="1"/>
              <w:shd w:val="clear" w:color="auto" w:fill="auto"/>
              <w:spacing w:line="226" w:lineRule="exact"/>
              <w:ind w:firstLine="180"/>
              <w:rPr>
                <w:rFonts w:eastAsia="Calibri"/>
                <w:sz w:val="22"/>
                <w:szCs w:val="22"/>
                <w:lang w:val="uk-UA"/>
              </w:rPr>
            </w:pPr>
            <w:r w:rsidRPr="000E7579">
              <w:rPr>
                <w:rFonts w:eastAsia="Calibri"/>
                <w:sz w:val="22"/>
                <w:szCs w:val="22"/>
                <w:lang w:val="uk-UA"/>
              </w:rPr>
              <w:t>Коригування (збільшення) договірних обсягів споживання електричної енергії здійснюється Споживачем до 13-го числа розрахункового періоду, за умови надання письмового звернення Споживача у довільній формі та 100% попередньої оплати додатково заявленого обсягу електричної енергії.</w:t>
            </w:r>
          </w:p>
          <w:p w:rsidR="000E7579" w:rsidRPr="000078DF" w:rsidRDefault="000E7579" w:rsidP="00E24A56">
            <w:pPr>
              <w:pStyle w:val="1"/>
              <w:shd w:val="clear" w:color="auto" w:fill="auto"/>
              <w:spacing w:line="226" w:lineRule="exact"/>
              <w:ind w:firstLine="180"/>
              <w:rPr>
                <w:rFonts w:eastAsia="Calibri"/>
                <w:sz w:val="22"/>
                <w:szCs w:val="22"/>
                <w:lang w:val="uk-UA"/>
              </w:rPr>
            </w:pPr>
            <w:r w:rsidRPr="000E7579">
              <w:rPr>
                <w:rFonts w:eastAsia="Calibri"/>
                <w:sz w:val="22"/>
                <w:szCs w:val="22"/>
                <w:lang w:val="uk-UA"/>
              </w:rPr>
              <w:t xml:space="preserve">У разі не коригування (збільшення) та перевищення Споживачем обсягу фактичного споживання електричної енергії у розрахунковому періоді від обсягу погодженого Споживачем договірного обсягу електричної енергії зазначеного у Додатку №3 до умов договору «Довідка про договірні обсяги споживання електричної енергії», на величину, що перевищує 10%, Постачальник нараховує Споживачу </w:t>
            </w:r>
            <w:r w:rsidRPr="000078DF">
              <w:rPr>
                <w:rFonts w:eastAsia="Calibri"/>
                <w:sz w:val="22"/>
                <w:szCs w:val="22"/>
                <w:lang w:val="uk-UA"/>
              </w:rPr>
              <w:t xml:space="preserve">штраф у розмірі </w:t>
            </w:r>
            <w:r w:rsidR="004B2B5B">
              <w:rPr>
                <w:rFonts w:eastAsia="Calibri"/>
                <w:sz w:val="22"/>
                <w:szCs w:val="22"/>
                <w:lang w:val="uk-UA"/>
              </w:rPr>
              <w:t>2</w:t>
            </w:r>
            <w:r w:rsidRPr="000078DF">
              <w:rPr>
                <w:rFonts w:eastAsia="Calibri"/>
                <w:sz w:val="22"/>
                <w:szCs w:val="22"/>
                <w:lang w:val="uk-UA"/>
              </w:rPr>
              <w:t>% від вартості різниці між фактичним обсягом спожитої електричної енергії та погодженим Споживачем договірного обсягу електричної енергії.</w:t>
            </w:r>
          </w:p>
          <w:p w:rsidR="000E7579" w:rsidRPr="000E7579" w:rsidRDefault="00D71E74" w:rsidP="000078DF">
            <w:pPr>
              <w:tabs>
                <w:tab w:val="left" w:pos="408"/>
              </w:tabs>
              <w:spacing w:after="57" w:line="200" w:lineRule="atLeast"/>
              <w:jc w:val="both"/>
              <w:rPr>
                <w:rFonts w:ascii="Times New Roman" w:hAnsi="Times New Roman"/>
                <w:b/>
                <w:sz w:val="24"/>
                <w:szCs w:val="24"/>
                <w:lang w:val="uk-UA"/>
              </w:rPr>
            </w:pPr>
            <w:r w:rsidRPr="000078DF">
              <w:rPr>
                <w:rFonts w:ascii="Times New Roman" w:hAnsi="Times New Roman" w:cstheme="minorBidi"/>
                <w:lang w:val="uk-UA"/>
              </w:rPr>
              <w:t xml:space="preserve">Сума штрафу у розмірі </w:t>
            </w:r>
            <w:r w:rsidR="004B2B5B">
              <w:rPr>
                <w:rFonts w:ascii="Times New Roman" w:hAnsi="Times New Roman" w:cstheme="minorBidi"/>
                <w:lang w:val="uk-UA"/>
              </w:rPr>
              <w:t>2</w:t>
            </w:r>
            <w:r w:rsidR="000E7579" w:rsidRPr="000078DF">
              <w:rPr>
                <w:rFonts w:ascii="Times New Roman" w:hAnsi="Times New Roman" w:cstheme="minorBidi"/>
                <w:lang w:val="uk-UA"/>
              </w:rPr>
              <w:t>% сплачується Споживачем протягом 5 (п'яти) робочих днів з моменту отримання рахунка - фактури на поточний рахунок Постачальника, з обов'язковим зазначенням у призначенні платежу «Сплата неустойки за перевищення фактичного обсягу споживання електричної енергії».</w:t>
            </w:r>
          </w:p>
        </w:tc>
      </w:tr>
      <w:tr w:rsidR="000E7579" w:rsidRPr="007B2C56" w:rsidTr="00E24A56">
        <w:trPr>
          <w:trHeight w:val="1123"/>
        </w:trPr>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color w:val="000000"/>
              </w:rPr>
              <w:t>8. Штраф за дострокове припинення дії договору</w:t>
            </w:r>
          </w:p>
        </w:tc>
        <w:tc>
          <w:tcPr>
            <w:tcW w:w="7163" w:type="dxa"/>
            <w:shd w:val="clear" w:color="auto" w:fill="auto"/>
          </w:tcPr>
          <w:p w:rsidR="000E7579" w:rsidRPr="000E7579" w:rsidRDefault="000E7579" w:rsidP="00E24A56">
            <w:pPr>
              <w:pStyle w:val="1"/>
              <w:shd w:val="clear" w:color="auto" w:fill="auto"/>
              <w:spacing w:line="226" w:lineRule="exact"/>
              <w:ind w:firstLine="160"/>
              <w:rPr>
                <w:rFonts w:eastAsia="Calibri"/>
                <w:sz w:val="22"/>
                <w:szCs w:val="22"/>
                <w:lang w:val="uk-UA"/>
              </w:rPr>
            </w:pPr>
            <w:r w:rsidRPr="000E7579">
              <w:rPr>
                <w:rFonts w:eastAsia="Calibri"/>
                <w:sz w:val="22"/>
                <w:szCs w:val="22"/>
                <w:lang w:val="uk-UA"/>
              </w:rPr>
              <w:t>У випадку дострокового розірвання договору за ініціативою Споживача при наявності умов:</w:t>
            </w:r>
          </w:p>
          <w:p w:rsidR="000E7579" w:rsidRPr="000E7579" w:rsidRDefault="000E7579" w:rsidP="00E24A56">
            <w:pPr>
              <w:pStyle w:val="1"/>
              <w:numPr>
                <w:ilvl w:val="0"/>
                <w:numId w:val="2"/>
              </w:numPr>
              <w:shd w:val="clear" w:color="auto" w:fill="auto"/>
              <w:tabs>
                <w:tab w:val="left" w:pos="259"/>
              </w:tabs>
              <w:spacing w:line="226" w:lineRule="exact"/>
              <w:ind w:left="280" w:hanging="160"/>
              <w:jc w:val="left"/>
              <w:rPr>
                <w:rFonts w:eastAsia="Calibri"/>
                <w:sz w:val="22"/>
                <w:szCs w:val="22"/>
                <w:lang w:val="uk-UA"/>
              </w:rPr>
            </w:pPr>
            <w:r w:rsidRPr="000E7579">
              <w:rPr>
                <w:rFonts w:eastAsia="Calibri"/>
                <w:sz w:val="22"/>
                <w:szCs w:val="22"/>
                <w:lang w:val="uk-UA"/>
              </w:rPr>
              <w:t>заявленого Споживачем та не сплаченого обсягу електричної енергії за розрахунковий період;</w:t>
            </w:r>
          </w:p>
          <w:p w:rsidR="000E7579" w:rsidRPr="000E7579" w:rsidRDefault="000E7579" w:rsidP="00E24A56">
            <w:pPr>
              <w:pStyle w:val="1"/>
              <w:numPr>
                <w:ilvl w:val="0"/>
                <w:numId w:val="2"/>
              </w:numPr>
              <w:shd w:val="clear" w:color="auto" w:fill="auto"/>
              <w:tabs>
                <w:tab w:val="left" w:pos="259"/>
              </w:tabs>
              <w:spacing w:line="226" w:lineRule="exact"/>
              <w:ind w:left="280" w:hanging="160"/>
              <w:jc w:val="left"/>
              <w:rPr>
                <w:rFonts w:eastAsia="Calibri"/>
                <w:sz w:val="22"/>
                <w:szCs w:val="22"/>
                <w:lang w:val="uk-UA"/>
              </w:rPr>
            </w:pPr>
            <w:r w:rsidRPr="000E7579">
              <w:rPr>
                <w:rFonts w:eastAsia="Calibri"/>
                <w:sz w:val="22"/>
                <w:szCs w:val="22"/>
                <w:lang w:val="uk-UA"/>
              </w:rPr>
              <w:t>повідомлення Споживачем Постачальника менш ніж за 21 календарний день до запланованої дати дострокового розірвання договору;</w:t>
            </w:r>
          </w:p>
          <w:p w:rsidR="000E7579" w:rsidRPr="000E7579" w:rsidRDefault="000E7579" w:rsidP="00E24A56">
            <w:pPr>
              <w:pStyle w:val="1"/>
              <w:numPr>
                <w:ilvl w:val="0"/>
                <w:numId w:val="2"/>
              </w:numPr>
              <w:shd w:val="clear" w:color="auto" w:fill="auto"/>
              <w:tabs>
                <w:tab w:val="left" w:pos="259"/>
              </w:tabs>
              <w:spacing w:line="226" w:lineRule="exact"/>
              <w:ind w:firstLine="0"/>
              <w:rPr>
                <w:rFonts w:eastAsia="Calibri"/>
                <w:sz w:val="22"/>
                <w:szCs w:val="22"/>
                <w:lang w:val="uk-UA"/>
              </w:rPr>
            </w:pPr>
            <w:r w:rsidRPr="000E7579">
              <w:rPr>
                <w:rFonts w:eastAsia="Calibri"/>
                <w:sz w:val="22"/>
                <w:szCs w:val="22"/>
                <w:lang w:val="uk-UA"/>
              </w:rPr>
              <w:t>всупереч іншим вимогам ПРРЕЕ,</w:t>
            </w:r>
          </w:p>
          <w:p w:rsidR="000E7579" w:rsidRPr="000E7579" w:rsidRDefault="000E7579" w:rsidP="002A18D0">
            <w:pPr>
              <w:pStyle w:val="a3"/>
              <w:spacing w:before="0" w:beforeAutospacing="0" w:after="0" w:afterAutospacing="0"/>
              <w:ind w:firstLine="287"/>
              <w:jc w:val="both"/>
              <w:rPr>
                <w:rFonts w:eastAsia="Calibri"/>
                <w:sz w:val="22"/>
                <w:szCs w:val="22"/>
                <w:lang w:val="uk-UA" w:eastAsia="en-US"/>
              </w:rPr>
            </w:pPr>
            <w:r w:rsidRPr="000E7579">
              <w:rPr>
                <w:rFonts w:eastAsia="Calibri"/>
                <w:sz w:val="22"/>
                <w:szCs w:val="22"/>
                <w:lang w:val="uk-UA" w:eastAsia="en-US"/>
              </w:rPr>
              <w:t>Споживач сплачує Постачальнику штраф в розмірі фактичного обсягу відпущеної електричної енергії за попередній період з урахуванням цін за розрахунковий період, в якому здійснене дострокове розірвання договору.</w:t>
            </w:r>
          </w:p>
        </w:tc>
      </w:tr>
      <w:tr w:rsidR="000E7579" w:rsidRPr="000E7579" w:rsidTr="00E24A56">
        <w:tc>
          <w:tcPr>
            <w:tcW w:w="2407" w:type="dxa"/>
            <w:shd w:val="clear" w:color="auto" w:fill="auto"/>
          </w:tcPr>
          <w:p w:rsidR="000E7579" w:rsidRPr="000E7579" w:rsidRDefault="000E7579" w:rsidP="00E24A56">
            <w:pPr>
              <w:pStyle w:val="a4"/>
              <w:jc w:val="center"/>
              <w:rPr>
                <w:rFonts w:ascii="Times New Roman" w:hAnsi="Times New Roman"/>
                <w:b/>
              </w:rPr>
            </w:pPr>
            <w:r w:rsidRPr="000E7579">
              <w:rPr>
                <w:rFonts w:ascii="Times New Roman" w:hAnsi="Times New Roman"/>
                <w:b/>
              </w:rPr>
              <w:t>9. Інші умови</w:t>
            </w:r>
          </w:p>
        </w:tc>
        <w:tc>
          <w:tcPr>
            <w:tcW w:w="7163" w:type="dxa"/>
            <w:shd w:val="clear" w:color="auto" w:fill="auto"/>
          </w:tcPr>
          <w:p w:rsidR="000E7579" w:rsidRPr="000E7579" w:rsidRDefault="000E7579" w:rsidP="00E24A56">
            <w:pPr>
              <w:pStyle w:val="1"/>
              <w:shd w:val="clear" w:color="auto" w:fill="auto"/>
              <w:spacing w:line="226" w:lineRule="exact"/>
              <w:ind w:firstLine="160"/>
              <w:rPr>
                <w:sz w:val="22"/>
                <w:szCs w:val="22"/>
                <w:lang w:val="uk-UA"/>
              </w:rPr>
            </w:pPr>
            <w:r w:rsidRPr="000E7579">
              <w:rPr>
                <w:rFonts w:eastAsia="Calibri"/>
                <w:sz w:val="22"/>
                <w:szCs w:val="22"/>
                <w:lang w:val="uk-UA"/>
              </w:rPr>
              <w:t xml:space="preserve">  </w:t>
            </w:r>
            <w:r w:rsidRPr="000E7579">
              <w:rPr>
                <w:sz w:val="22"/>
                <w:szCs w:val="22"/>
                <w:lang w:val="uk-UA"/>
              </w:rPr>
              <w:t>З урахуванням положень Податкового кодексу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rsidR="000E7579" w:rsidRPr="000E7579" w:rsidRDefault="000E7579" w:rsidP="00E24A56">
            <w:pPr>
              <w:pStyle w:val="a3"/>
              <w:spacing w:before="0" w:beforeAutospacing="0" w:after="0" w:afterAutospacing="0"/>
              <w:jc w:val="both"/>
              <w:rPr>
                <w:rFonts w:eastAsia="Calibri"/>
                <w:lang w:val="uk-UA" w:eastAsia="en-US"/>
              </w:rPr>
            </w:pPr>
            <w:r w:rsidRPr="000E7579">
              <w:rPr>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Якщо станом на дату складення зведеної податкової накладної сума коштів, що надійшла на поточний рахунок Постачальника за електричну енергію </w:t>
            </w:r>
            <w:r w:rsidRPr="000E7579">
              <w:rPr>
                <w:sz w:val="22"/>
                <w:szCs w:val="22"/>
                <w:lang w:val="uk-UA"/>
              </w:rPr>
              <w:lastRenderedPageBreak/>
              <w:t>перевищує вартість фактично поставленого обсягу електричної енергії протягом розрахункового місяця, таке перевищення вважається попередньою оплатою (авансом), на суму якої складається податкова накладна у загальному порядку не пізніше останнього дня такого місяця.</w:t>
            </w:r>
          </w:p>
        </w:tc>
      </w:tr>
    </w:tbl>
    <w:p w:rsidR="000E7579" w:rsidRPr="000E7579" w:rsidRDefault="000E7579" w:rsidP="000E7579">
      <w:pPr>
        <w:spacing w:after="0"/>
        <w:rPr>
          <w:rFonts w:ascii="Times New Roman" w:hAnsi="Times New Roman"/>
          <w:lang w:val="uk-UA"/>
        </w:rPr>
      </w:pPr>
    </w:p>
    <w:p w:rsidR="000E7579" w:rsidRPr="000E7579" w:rsidRDefault="000E7579" w:rsidP="000E7579">
      <w:pPr>
        <w:spacing w:after="0"/>
        <w:rPr>
          <w:rFonts w:ascii="Times New Roman" w:hAnsi="Times New Roman"/>
          <w:lang w:val="uk-UA"/>
        </w:rPr>
      </w:pPr>
    </w:p>
    <w:p w:rsidR="004B2B5B" w:rsidRPr="006B3F5E" w:rsidRDefault="000E7579" w:rsidP="004B2B5B">
      <w:pPr>
        <w:spacing w:after="0"/>
        <w:rPr>
          <w:rFonts w:ascii="Times New Roman" w:hAnsi="Times New Roman"/>
          <w:b/>
          <w:sz w:val="28"/>
          <w:szCs w:val="28"/>
          <w:lang w:val="uk-UA"/>
        </w:rPr>
      </w:pPr>
      <w:r w:rsidRPr="006B3F5E">
        <w:rPr>
          <w:rFonts w:ascii="Times New Roman" w:hAnsi="Times New Roman"/>
          <w:b/>
          <w:sz w:val="28"/>
          <w:szCs w:val="28"/>
          <w:lang w:val="uk-UA"/>
        </w:rPr>
        <w:t>Споживач:</w:t>
      </w:r>
      <w:r w:rsidR="006B3F5E">
        <w:rPr>
          <w:rFonts w:ascii="Times New Roman" w:hAnsi="Times New Roman"/>
          <w:b/>
          <w:sz w:val="28"/>
          <w:szCs w:val="28"/>
          <w:lang w:val="uk-UA"/>
        </w:rPr>
        <w:t xml:space="preserve"> </w:t>
      </w:r>
      <w:r w:rsidRPr="006B3F5E">
        <w:rPr>
          <w:rFonts w:ascii="Times New Roman" w:hAnsi="Times New Roman"/>
          <w:b/>
          <w:sz w:val="28"/>
          <w:szCs w:val="28"/>
          <w:lang w:val="uk-UA"/>
        </w:rPr>
        <w:t xml:space="preserve"> </w:t>
      </w:r>
      <w:r w:rsidR="004B2B5B">
        <w:rPr>
          <w:rFonts w:ascii="Times New Roman" w:hAnsi="Times New Roman"/>
          <w:b/>
          <w:sz w:val="28"/>
          <w:szCs w:val="28"/>
          <w:lang w:val="uk-UA"/>
        </w:rPr>
        <w:t>«…..»</w:t>
      </w:r>
    </w:p>
    <w:p w:rsidR="00320A42" w:rsidRPr="006B3F5E" w:rsidRDefault="00320A42" w:rsidP="000E7579">
      <w:pPr>
        <w:spacing w:after="0"/>
        <w:rPr>
          <w:rFonts w:ascii="Times New Roman" w:hAnsi="Times New Roman"/>
          <w:b/>
          <w:sz w:val="28"/>
          <w:szCs w:val="28"/>
          <w:lang w:val="uk-UA"/>
        </w:rPr>
      </w:pPr>
    </w:p>
    <w:p w:rsidR="00320A42" w:rsidRPr="006B3F5E" w:rsidRDefault="00320A42" w:rsidP="000E7579">
      <w:pPr>
        <w:spacing w:after="0"/>
        <w:rPr>
          <w:rFonts w:ascii="Times New Roman" w:hAnsi="Times New Roman"/>
          <w:b/>
          <w:sz w:val="28"/>
          <w:szCs w:val="28"/>
          <w:lang w:val="uk-UA"/>
        </w:rPr>
      </w:pPr>
    </w:p>
    <w:p w:rsidR="000E7579" w:rsidRPr="006B3F5E" w:rsidRDefault="00320A42" w:rsidP="000E7579">
      <w:pPr>
        <w:spacing w:after="0"/>
        <w:rPr>
          <w:rFonts w:ascii="Times New Roman" w:hAnsi="Times New Roman"/>
          <w:b/>
          <w:sz w:val="28"/>
          <w:szCs w:val="28"/>
          <w:lang w:val="uk-UA"/>
        </w:rPr>
      </w:pPr>
      <w:r w:rsidRPr="006B3F5E">
        <w:rPr>
          <w:rFonts w:ascii="Times New Roman" w:hAnsi="Times New Roman"/>
          <w:b/>
          <w:sz w:val="28"/>
          <w:szCs w:val="28"/>
          <w:lang w:val="uk-UA"/>
        </w:rPr>
        <w:tab/>
      </w:r>
      <w:r w:rsidR="000E7579" w:rsidRPr="006B3F5E">
        <w:rPr>
          <w:rFonts w:ascii="Times New Roman" w:hAnsi="Times New Roman"/>
          <w:b/>
          <w:sz w:val="28"/>
          <w:szCs w:val="28"/>
          <w:lang w:val="uk-UA"/>
        </w:rPr>
        <w:tab/>
      </w:r>
      <w:r w:rsidR="00225B54" w:rsidRPr="006B3F5E">
        <w:rPr>
          <w:rFonts w:ascii="Times New Roman" w:hAnsi="Times New Roman"/>
          <w:b/>
          <w:sz w:val="28"/>
          <w:szCs w:val="28"/>
          <w:lang w:val="uk-UA"/>
        </w:rPr>
        <w:t xml:space="preserve"> </w:t>
      </w:r>
      <w:r w:rsidR="000E7579" w:rsidRPr="006B3F5E">
        <w:rPr>
          <w:rFonts w:ascii="Times New Roman" w:hAnsi="Times New Roman"/>
          <w:b/>
          <w:sz w:val="28"/>
          <w:szCs w:val="28"/>
          <w:lang w:val="uk-UA"/>
        </w:rPr>
        <w:t>__________</w:t>
      </w:r>
      <w:r w:rsidR="000E7579" w:rsidRPr="006B3F5E">
        <w:rPr>
          <w:rFonts w:ascii="Times New Roman" w:hAnsi="Times New Roman"/>
          <w:b/>
          <w:sz w:val="28"/>
          <w:szCs w:val="28"/>
          <w:lang w:val="uk-UA"/>
        </w:rPr>
        <w:tab/>
      </w:r>
      <w:r w:rsidR="00225B54" w:rsidRPr="006B3F5E">
        <w:rPr>
          <w:rFonts w:ascii="Times New Roman" w:hAnsi="Times New Roman"/>
          <w:b/>
          <w:sz w:val="28"/>
          <w:szCs w:val="28"/>
          <w:lang w:val="uk-UA"/>
        </w:rPr>
        <w:t xml:space="preserve"> </w:t>
      </w:r>
      <w:r w:rsidR="00815DCB" w:rsidRPr="006B3F5E">
        <w:rPr>
          <w:rFonts w:ascii="Times New Roman" w:hAnsi="Times New Roman"/>
          <w:b/>
          <w:sz w:val="28"/>
          <w:szCs w:val="28"/>
          <w:lang w:val="uk-UA"/>
        </w:rPr>
        <w:t>Д</w:t>
      </w:r>
      <w:r w:rsidR="00F5755C" w:rsidRPr="006B3F5E">
        <w:rPr>
          <w:rFonts w:ascii="Times New Roman" w:hAnsi="Times New Roman"/>
          <w:b/>
          <w:sz w:val="28"/>
          <w:szCs w:val="28"/>
          <w:lang w:val="uk-UA"/>
        </w:rPr>
        <w:t xml:space="preserve">иректор </w:t>
      </w:r>
      <w:r w:rsidR="007B2C56">
        <w:rPr>
          <w:rFonts w:ascii="Times New Roman" w:hAnsi="Times New Roman"/>
          <w:b/>
          <w:sz w:val="28"/>
          <w:szCs w:val="28"/>
          <w:lang w:val="uk-UA"/>
        </w:rPr>
        <w:t>/Богдан</w:t>
      </w:r>
      <w:r w:rsidR="00C106FF">
        <w:rPr>
          <w:rFonts w:ascii="Times New Roman" w:hAnsi="Times New Roman"/>
          <w:b/>
          <w:sz w:val="28"/>
          <w:szCs w:val="28"/>
          <w:lang w:val="uk-UA"/>
        </w:rPr>
        <w:t xml:space="preserve"> </w:t>
      </w:r>
      <w:r w:rsidR="007B2C56">
        <w:rPr>
          <w:rFonts w:ascii="Times New Roman" w:hAnsi="Times New Roman"/>
          <w:b/>
          <w:sz w:val="28"/>
          <w:szCs w:val="28"/>
          <w:lang w:val="uk-UA"/>
        </w:rPr>
        <w:t>Д</w:t>
      </w:r>
      <w:r w:rsidR="00C106FF">
        <w:rPr>
          <w:rFonts w:ascii="Times New Roman" w:hAnsi="Times New Roman"/>
          <w:b/>
          <w:sz w:val="28"/>
          <w:szCs w:val="28"/>
          <w:lang w:val="uk-UA"/>
        </w:rPr>
        <w:t>.</w:t>
      </w:r>
      <w:r w:rsidR="007B2C56">
        <w:rPr>
          <w:rFonts w:ascii="Times New Roman" w:hAnsi="Times New Roman"/>
          <w:b/>
          <w:sz w:val="28"/>
          <w:szCs w:val="28"/>
          <w:lang w:val="uk-UA"/>
        </w:rPr>
        <w:t xml:space="preserve"> В</w:t>
      </w:r>
      <w:r w:rsidR="00C106FF">
        <w:rPr>
          <w:rFonts w:ascii="Times New Roman" w:hAnsi="Times New Roman"/>
          <w:b/>
          <w:sz w:val="28"/>
          <w:szCs w:val="28"/>
          <w:lang w:val="uk-UA"/>
        </w:rPr>
        <w:t>.</w:t>
      </w:r>
      <w:r w:rsidR="007B2C56">
        <w:rPr>
          <w:rFonts w:ascii="Times New Roman" w:hAnsi="Times New Roman"/>
          <w:b/>
          <w:sz w:val="28"/>
          <w:szCs w:val="28"/>
          <w:lang w:val="uk-UA"/>
        </w:rPr>
        <w:t>/</w:t>
      </w:r>
    </w:p>
    <w:p w:rsidR="00F5755C" w:rsidRPr="006B3F5E" w:rsidRDefault="00F5755C" w:rsidP="000E7579">
      <w:pPr>
        <w:spacing w:after="0"/>
        <w:rPr>
          <w:rFonts w:ascii="Times New Roman" w:hAnsi="Times New Roman"/>
          <w:b/>
          <w:sz w:val="28"/>
          <w:szCs w:val="28"/>
          <w:lang w:val="uk-UA"/>
        </w:rPr>
      </w:pPr>
    </w:p>
    <w:p w:rsidR="00F5755C" w:rsidRPr="006B3F5E" w:rsidRDefault="00815DCB" w:rsidP="000E7579">
      <w:pPr>
        <w:spacing w:after="0"/>
        <w:rPr>
          <w:rFonts w:ascii="Times New Roman" w:hAnsi="Times New Roman"/>
          <w:b/>
          <w:sz w:val="28"/>
          <w:szCs w:val="28"/>
          <w:lang w:val="uk-UA"/>
        </w:rPr>
      </w:pPr>
      <w:r w:rsidRPr="006B3F5E">
        <w:rPr>
          <w:rFonts w:ascii="Times New Roman" w:hAnsi="Times New Roman"/>
          <w:b/>
          <w:sz w:val="28"/>
          <w:szCs w:val="28"/>
          <w:lang w:val="uk-UA"/>
        </w:rPr>
        <w:t>« 1</w:t>
      </w:r>
      <w:bookmarkStart w:id="0" w:name="_GoBack"/>
      <w:bookmarkEnd w:id="0"/>
      <w:r w:rsidRPr="006B3F5E">
        <w:rPr>
          <w:rFonts w:ascii="Times New Roman" w:hAnsi="Times New Roman"/>
          <w:b/>
          <w:sz w:val="28"/>
          <w:szCs w:val="28"/>
          <w:lang w:val="uk-UA"/>
        </w:rPr>
        <w:t xml:space="preserve"> » </w:t>
      </w:r>
      <w:r w:rsidR="0010370E">
        <w:rPr>
          <w:rFonts w:ascii="Times New Roman" w:hAnsi="Times New Roman"/>
          <w:b/>
          <w:sz w:val="28"/>
          <w:szCs w:val="28"/>
          <w:lang w:val="uk-UA"/>
        </w:rPr>
        <w:t>травня</w:t>
      </w:r>
      <w:r w:rsidR="00A15BDC" w:rsidRPr="006B3F5E">
        <w:rPr>
          <w:rFonts w:ascii="Times New Roman" w:hAnsi="Times New Roman"/>
          <w:b/>
          <w:sz w:val="28"/>
          <w:szCs w:val="28"/>
          <w:lang w:val="uk-UA"/>
        </w:rPr>
        <w:t xml:space="preserve"> </w:t>
      </w:r>
      <w:r w:rsidR="00F5755C" w:rsidRPr="006B3F5E">
        <w:rPr>
          <w:rFonts w:ascii="Times New Roman" w:hAnsi="Times New Roman"/>
          <w:b/>
          <w:sz w:val="28"/>
          <w:szCs w:val="28"/>
          <w:lang w:val="uk-UA"/>
        </w:rPr>
        <w:t xml:space="preserve"> 2019 р.</w:t>
      </w:r>
    </w:p>
    <w:sectPr w:rsidR="00F5755C" w:rsidRPr="006B3F5E" w:rsidSect="00F5755C">
      <w:pgSz w:w="11906" w:h="16838"/>
      <w:pgMar w:top="426"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661F73"/>
    <w:multiLevelType w:val="multilevel"/>
    <w:tmpl w:val="6ECCF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E7579"/>
    <w:rsid w:val="000078DF"/>
    <w:rsid w:val="000E7579"/>
    <w:rsid w:val="0010370E"/>
    <w:rsid w:val="001521A4"/>
    <w:rsid w:val="00195AF4"/>
    <w:rsid w:val="001D18F8"/>
    <w:rsid w:val="00225B54"/>
    <w:rsid w:val="00235E27"/>
    <w:rsid w:val="002A18D0"/>
    <w:rsid w:val="003052E0"/>
    <w:rsid w:val="003104E3"/>
    <w:rsid w:val="00320A42"/>
    <w:rsid w:val="003F4641"/>
    <w:rsid w:val="004B2B5B"/>
    <w:rsid w:val="004C5A1F"/>
    <w:rsid w:val="00534994"/>
    <w:rsid w:val="006B3F5E"/>
    <w:rsid w:val="006D456B"/>
    <w:rsid w:val="007B2C56"/>
    <w:rsid w:val="007D794D"/>
    <w:rsid w:val="00815DCB"/>
    <w:rsid w:val="00A15BDC"/>
    <w:rsid w:val="00A164FC"/>
    <w:rsid w:val="00C0797A"/>
    <w:rsid w:val="00C106FF"/>
    <w:rsid w:val="00D71E74"/>
    <w:rsid w:val="00E241A1"/>
    <w:rsid w:val="00E52D85"/>
    <w:rsid w:val="00F5755C"/>
    <w:rsid w:val="00FC1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F6D2"/>
  <w15:docId w15:val="{B622C1BA-028B-2E4A-98BC-806BFA5C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5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57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0E7579"/>
    <w:pPr>
      <w:spacing w:after="0" w:line="240" w:lineRule="auto"/>
    </w:pPr>
    <w:rPr>
      <w:rFonts w:ascii="Calibri" w:eastAsia="Calibri" w:hAnsi="Calibri" w:cs="Times New Roman"/>
      <w:lang w:val="uk-UA"/>
    </w:rPr>
  </w:style>
  <w:style w:type="character" w:customStyle="1" w:styleId="2">
    <w:name w:val="Основной текст (2)_"/>
    <w:link w:val="20"/>
    <w:rsid w:val="000E7579"/>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0E7579"/>
    <w:pPr>
      <w:shd w:val="clear" w:color="auto" w:fill="FFFFFF"/>
      <w:spacing w:after="0" w:line="0" w:lineRule="atLeast"/>
    </w:pPr>
    <w:rPr>
      <w:rFonts w:ascii="Times New Roman" w:eastAsia="Times New Roman" w:hAnsi="Times New Roman" w:cstheme="minorBidi"/>
      <w:sz w:val="18"/>
      <w:szCs w:val="18"/>
    </w:rPr>
  </w:style>
  <w:style w:type="character" w:customStyle="1" w:styleId="a5">
    <w:name w:val="Основной текст_"/>
    <w:link w:val="1"/>
    <w:rsid w:val="000E7579"/>
    <w:rPr>
      <w:rFonts w:ascii="Times New Roman" w:eastAsia="Times New Roman" w:hAnsi="Times New Roman"/>
      <w:sz w:val="19"/>
      <w:szCs w:val="19"/>
      <w:shd w:val="clear" w:color="auto" w:fill="FFFFFF"/>
    </w:rPr>
  </w:style>
  <w:style w:type="paragraph" w:customStyle="1" w:styleId="1">
    <w:name w:val="Основной текст1"/>
    <w:basedOn w:val="a"/>
    <w:link w:val="a5"/>
    <w:rsid w:val="000E7579"/>
    <w:pPr>
      <w:shd w:val="clear" w:color="auto" w:fill="FFFFFF"/>
      <w:spacing w:after="0" w:line="235" w:lineRule="exact"/>
      <w:ind w:hanging="180"/>
      <w:jc w:val="both"/>
    </w:pPr>
    <w:rPr>
      <w:rFonts w:ascii="Times New Roman" w:eastAsia="Times New Roman" w:hAnsi="Times New Roman" w:cstheme="minorBidi"/>
      <w:sz w:val="19"/>
      <w:szCs w:val="19"/>
    </w:rPr>
  </w:style>
  <w:style w:type="paragraph" w:customStyle="1" w:styleId="Default">
    <w:name w:val="Default"/>
    <w:rsid w:val="003104E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35E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E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7672">
      <w:bodyDiv w:val="1"/>
      <w:marLeft w:val="0"/>
      <w:marRight w:val="0"/>
      <w:marTop w:val="0"/>
      <w:marBottom w:val="0"/>
      <w:divBdr>
        <w:top w:val="none" w:sz="0" w:space="0" w:color="auto"/>
        <w:left w:val="none" w:sz="0" w:space="0" w:color="auto"/>
        <w:bottom w:val="none" w:sz="0" w:space="0" w:color="auto"/>
        <w:right w:val="none" w:sz="0" w:space="0" w:color="auto"/>
      </w:divBdr>
    </w:div>
    <w:div w:id="18523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32</cp:revision>
  <cp:lastPrinted>2019-04-05T12:24:00Z</cp:lastPrinted>
  <dcterms:created xsi:type="dcterms:W3CDTF">2019-02-18T11:26:00Z</dcterms:created>
  <dcterms:modified xsi:type="dcterms:W3CDTF">2019-05-17T09:20:00Z</dcterms:modified>
</cp:coreProperties>
</file>